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115</w:t>
      </w:r>
    </w:p>
    <w:p>
      <w:r>
        <w:t>Bundesgericht (BGE), 1992-05-19, DE</w:t>
      </w:r>
    </w:p>
    <w:p>
      <w:r>
        <w:rPr>
          <w:b/>
        </w:rPr>
        <w:t xml:space="preserve">Quelle: </w:t>
      </w:r>
      <w:r>
        <w:t>https://mcp.opencaselaw.ch/entscheid/bge_118 II 115</w:t>
      </w:r>
    </w:p>
    <w:p>
      <w:r>
        <w:t>FR: ATF 118 II 115</w:t>
      </w:r>
    </w:p>
    <w:p>
      <w:r>
        <w:t>IT: DTF 118 II 115</w:t>
      </w:r>
    </w:p>
    <w:p>
      <w:pPr>
        <w:pStyle w:val="Heading2"/>
      </w:pPr>
      <w:r>
        <w:t>Regeste</w:t>
      </w:r>
    </w:p>
    <w:p>
      <w:r>
        <w:t>Regeste Grundbuchrecht. Ein selbständiges und dauerndes Baurecht kann nicht wie ein eigentliches Grundstück derelinquiert werden, mit der Folge, dass es im Grundbuch als herrenlos zu bezeichnen wäre.</w:t>
      </w:r>
    </w:p>
    <w:p>
      <w:pPr>
        <w:pStyle w:val="Heading2"/>
      </w:pPr>
      <w:r>
        <w:t>Erwägungen</w:t>
      </w:r>
    </w:p>
    <w:p>
      <w:r>
        <w:rPr>
          <w:b/>
        </w:rPr>
        <w:t>E. 2</w:t>
      </w:r>
    </w:p>
    <w:p>
      <w:r>
        <w:t>Gegenstand der Beschwerde kann nur die Grundbuchanmeldung vom 24. April 1991 bilden, mit welcher der Beschwerdeführer beantragte, das Baurecht sei in der Kolonne "Eigentümer" als herrenlos zu bezeichnen. Die Vorinstanz hat dazu ausgeführt, das Baurecht stelle nach einhelliger Auffassung eine Dienstbarkeit dar. Zwar seien die in das Grundbuch aufgenommenen selbständigen und dauernden Rechte gemäss Art. 655 Abs. 2 ZGB Grundstücke. Da solche Rechte, auch wenn sie ein eigenes Blatt im Grundbuch erhielten, Rechte blieben und nicht körperliche Gegenstände würden, könnten sie indessen nicht wirkliche Objekte des Grundeigentums bilden. Das Baurecht sei daher kein Grundstück im eigentlichen BGE 118 II 115 S. 118 Sinne, sondern es werde lediglich in bestimmter Hinsicht wie ein solches behandelt. Der Verzicht auf das Baurecht entspreche demzufolge nicht der Dereliktion von Grundeigentum; die Dienstbarkeit werde dadurch nicht zu einer herrenlosen Sache, an der die beschränkten dinglichen Rechte weiterbestünden. Herrenlos werde nur eine Sache, nicht etwas, das gar nicht Eigentumsobjekt sein könne. Das Baurecht gehe nach den für die Dienstbarkeiten geltenden Grundsätzen unter. Danach könne der Bauberechtigte zwar auf sein Recht verzichten und die Schliessung des eröffneten Grundbuchblattes verlangen. Ein solcher Verzicht setze aber gemäss Art. 964 ZGB die Zustimmung der Berechtigten aus den am Baurecht bestehenden beschränkten dinglichen Rechten voraus, an der es hier fehle. Diese Begründung überzeugt. Es kann darauf verwiesen werden. Was der Beschwerdeführer dagegen vorbringt, beschränkt sich auf das Argument, dass das Baurecht, obwohl es keine körperliche Sache, sondern eine Dienstbarkeit darstelle, mit seiner Aufnahme im Grundbuch rechtlich zum Grundstück werde. Für die Übertragung des Rechts, für die Belastung mit beschränkten dinglichen Rechten und für den Untergang seien daher ausschliesslich die Bestimmungen über das Grundeigentum massgebend. Da das Baurecht demnach sehr wohl Objekt des Eigentums sei, könne das Eigentumsrecht daran auch durch Dereliktion aufgegeben werden. Diese Betrachtungsweise bleibt jedoch am Wortlaut von Art. 655 Abs. 2 ZGB kleben. Danach "sind" zwar Grundstücke im Sinne des Gesetzes unter anderem auch die in das Grundbuch aufgenommenen selbständigen und dauernden Rechte. Es ist jedoch längst anerkannt, dass die selbständigen und dauernden Rechte durch diese gesetzgeberische Fiktion nicht zu Grundstücken, d.h. zu Sachobjekten, an denen Eigentum begründet werden könnte, gemacht werden und dass die Bestimmungen über die Grundstücke demgemäss auf sie nur analog angewendet werden können, indem den Besonderheiten ihres Charakters als Dienstbarkeitsrechte Rechnung getragen wird (vgl. neben den im angefochtenen Entscheid zitierten Autoren auch MEIER-HAYOZ, N. 5 zu Art. 655 ZGB ; LIVER, Das Eigentum, in: Schweiz. Privatrecht, Bd. V/1, S. 123). Dereliktion (und Aneignung) ist aber nur an körperlichen Sachen möglich, nicht auch an Rechten. Damit ist der Argumentation des Beschwerdeführers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